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5942">
      <w:pPr>
        <w:keepNext w:val="0"/>
        <w:keepLines w:val="0"/>
        <w:pageBreakBefore w:val="0"/>
        <w:widowControl w:val="0"/>
        <w:kinsoku/>
        <w:wordWrap/>
        <w:overflowPunct/>
        <w:topLinePunct w:val="0"/>
        <w:autoSpaceDE/>
        <w:autoSpaceDN/>
        <w:bidi w:val="0"/>
        <w:adjustRightInd w:val="0"/>
        <w:snapToGrid/>
        <w:spacing w:after="120" w:line="240" w:lineRule="auto"/>
        <w:ind w:left="0" w:leftChars="0" w:firstLine="0" w:firstLineChars="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bookmarkStart w:id="1" w:name="_GoBack"/>
      <w:r>
        <w:rPr>
          <w:rFonts w:hint="eastAsia" w:ascii="黑体" w:hAnsi="黑体" w:eastAsia="黑体" w:cs="黑体"/>
          <w:color w:val="000000"/>
          <w:kern w:val="0"/>
          <w:sz w:val="32"/>
          <w:szCs w:val="32"/>
          <w:lang w:val="en-US" w:eastAsia="zh-CN" w:bidi="ar"/>
        </w:rPr>
        <w:t>昌黎茅台葡萄酒经贸有限公司抖音平台官方旗舰店产品运营商评分标准</w:t>
      </w:r>
      <w:bookmarkEnd w:id="1"/>
      <w:r>
        <w:rPr>
          <w:rFonts w:hint="eastAsia" w:ascii="黑体" w:hAnsi="黑体" w:eastAsia="黑体" w:cs="黑体"/>
          <w:color w:val="000000"/>
          <w:kern w:val="0"/>
          <w:sz w:val="32"/>
          <w:szCs w:val="32"/>
          <w:lang w:val="en-US" w:eastAsia="zh-CN" w:bidi="ar"/>
        </w:rPr>
        <w:t>）</w:t>
      </w:r>
    </w:p>
    <w:p w14:paraId="261E30DB">
      <w:pPr>
        <w:spacing w:line="6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昌黎茅台葡萄酒经贸有限</w:t>
      </w:r>
      <w:r>
        <w:rPr>
          <w:rFonts w:hint="eastAsia" w:ascii="方正小标宋简体" w:hAnsi="方正小标宋简体" w:eastAsia="方正小标宋简体" w:cs="方正小标宋简体"/>
          <w:b w:val="0"/>
          <w:bCs w:val="0"/>
          <w:sz w:val="44"/>
          <w:szCs w:val="44"/>
        </w:rPr>
        <w:t>公司</w:t>
      </w:r>
    </w:p>
    <w:p w14:paraId="53011658">
      <w:pPr>
        <w:spacing w:line="6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抖音平台官方旗舰店</w:t>
      </w:r>
      <w:r>
        <w:rPr>
          <w:rFonts w:hint="eastAsia" w:ascii="方正小标宋简体" w:hAnsi="方正小标宋简体" w:eastAsia="方正小标宋简体" w:cs="方正小标宋简体"/>
          <w:b w:val="0"/>
          <w:bCs w:val="0"/>
          <w:sz w:val="44"/>
          <w:szCs w:val="44"/>
        </w:rPr>
        <w:t>产品运营商评分标准</w:t>
      </w:r>
    </w:p>
    <w:p w14:paraId="12717547">
      <w:pPr>
        <w:spacing w:line="620" w:lineRule="exact"/>
        <w:jc w:val="left"/>
        <w:rPr>
          <w:rFonts w:hint="eastAsia" w:ascii="仿宋_GB2312" w:hAnsi="仿宋_GB2312" w:eastAsia="仿宋_GB2312" w:cs="仿宋_GB2312"/>
          <w:sz w:val="32"/>
          <w:szCs w:val="32"/>
        </w:rPr>
      </w:pPr>
    </w:p>
    <w:tbl>
      <w:tblPr>
        <w:tblStyle w:val="15"/>
        <w:tblW w:w="10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2250"/>
        <w:gridCol w:w="5066"/>
        <w:gridCol w:w="878"/>
      </w:tblGrid>
      <w:tr w14:paraId="576A9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4230" w:type="dxa"/>
            <w:gridSpan w:val="2"/>
          </w:tcPr>
          <w:p w14:paraId="28D66B52">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评分项目</w:t>
            </w:r>
          </w:p>
        </w:tc>
        <w:tc>
          <w:tcPr>
            <w:tcW w:w="5066" w:type="dxa"/>
          </w:tcPr>
          <w:p w14:paraId="207E9778">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评分内容</w:t>
            </w:r>
          </w:p>
        </w:tc>
        <w:tc>
          <w:tcPr>
            <w:tcW w:w="878" w:type="dxa"/>
          </w:tcPr>
          <w:p w14:paraId="11AA5FEB">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分值</w:t>
            </w:r>
          </w:p>
        </w:tc>
      </w:tr>
      <w:tr w14:paraId="335D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vAlign w:val="center"/>
          </w:tcPr>
          <w:p w14:paraId="281A5D0A">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运营方案可行性</w:t>
            </w:r>
          </w:p>
          <w:p w14:paraId="41BBA1FB">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（50分）</w:t>
            </w:r>
          </w:p>
        </w:tc>
        <w:tc>
          <w:tcPr>
            <w:tcW w:w="2250" w:type="dxa"/>
            <w:vAlign w:val="center"/>
          </w:tcPr>
          <w:p w14:paraId="2B611436">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策略创新性</w:t>
            </w:r>
          </w:p>
        </w:tc>
        <w:tc>
          <w:tcPr>
            <w:tcW w:w="5066" w:type="dxa"/>
            <w:vAlign w:val="center"/>
          </w:tcPr>
          <w:p w14:paraId="481979F7">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1.产品定位精准度：方案需明确目标消费群体、价格带（100-500元）定位及差异化竞争优势，符合公司品牌调性（10分）。</w:t>
            </w:r>
          </w:p>
          <w:p w14:paraId="313AE05C">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2.营销策略创新性：包含内容电商、社交平台种草、直播带货等新兴渠道的整合方案，提出差异化推广手段（如IP联名、场景化营销）（10分）。</w:t>
            </w:r>
          </w:p>
          <w:p w14:paraId="5E1EBD0A">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3.创意内容规划：短视频、直播脚本设计新颖，具备传播爆点，能有效提升品牌曝光度（10分）。</w:t>
            </w:r>
          </w:p>
        </w:tc>
        <w:tc>
          <w:tcPr>
            <w:tcW w:w="878" w:type="dxa"/>
            <w:vAlign w:val="center"/>
          </w:tcPr>
          <w:p w14:paraId="55ED472C">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30分</w:t>
            </w:r>
          </w:p>
        </w:tc>
      </w:tr>
      <w:tr w14:paraId="1394C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continue"/>
            <w:vAlign w:val="center"/>
          </w:tcPr>
          <w:p w14:paraId="4DC03EDB">
            <w:pPr>
              <w:spacing w:after="0" w:line="620" w:lineRule="exact"/>
              <w:jc w:val="center"/>
              <w:rPr>
                <w:rFonts w:hint="eastAsia" w:ascii="宋体" w:hAnsi="宋体" w:eastAsia="宋体" w:cs="仿宋_GB2312"/>
                <w:kern w:val="0"/>
                <w:sz w:val="24"/>
                <w:szCs w:val="20"/>
                <w14:ligatures w14:val="none"/>
              </w:rPr>
            </w:pPr>
          </w:p>
        </w:tc>
        <w:tc>
          <w:tcPr>
            <w:tcW w:w="2250" w:type="dxa"/>
            <w:vAlign w:val="center"/>
          </w:tcPr>
          <w:p w14:paraId="115EEE95">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目标达成路径</w:t>
            </w:r>
          </w:p>
        </w:tc>
        <w:tc>
          <w:tcPr>
            <w:tcW w:w="5066" w:type="dxa"/>
            <w:vAlign w:val="center"/>
          </w:tcPr>
          <w:p w14:paraId="31B5E3B5">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1.销售目标分解：对</w:t>
            </w:r>
            <w:r>
              <w:rPr>
                <w:rFonts w:hint="eastAsia" w:ascii="宋体" w:hAnsi="宋体" w:eastAsia="宋体" w:cs="仿宋_GB2312"/>
                <w:kern w:val="0"/>
                <w:sz w:val="24"/>
                <w:szCs w:val="20"/>
                <w:lang w:val="en-US" w:eastAsia="zh-CN"/>
                <w14:ligatures w14:val="none"/>
              </w:rPr>
              <w:t>5000万</w:t>
            </w:r>
            <w:r>
              <w:rPr>
                <w:rFonts w:hint="eastAsia" w:ascii="宋体" w:hAnsi="宋体" w:eastAsia="宋体" w:cs="仿宋_GB2312"/>
                <w:kern w:val="0"/>
                <w:sz w:val="24"/>
                <w:szCs w:val="20"/>
                <w14:ligatures w14:val="none"/>
              </w:rPr>
              <w:t>元总目标按年度、季度进行科学拆分，逻辑清晰（10分）。</w:t>
            </w:r>
          </w:p>
          <w:p w14:paraId="18E3DCAF">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2.执行计划合理性：明确阶段任务（如产品上线、促销活动、旺季冲刺）、资源配置（人力/资金）及关键节点把控（10分）。</w:t>
            </w:r>
          </w:p>
        </w:tc>
        <w:tc>
          <w:tcPr>
            <w:tcW w:w="878" w:type="dxa"/>
            <w:vAlign w:val="center"/>
          </w:tcPr>
          <w:p w14:paraId="0BD0E674">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20分</w:t>
            </w:r>
          </w:p>
        </w:tc>
      </w:tr>
      <w:tr w14:paraId="2416B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vAlign w:val="center"/>
          </w:tcPr>
          <w:p w14:paraId="075D1F49">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团队能力</w:t>
            </w:r>
          </w:p>
          <w:p w14:paraId="3CF5E69C">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（30分）</w:t>
            </w:r>
          </w:p>
        </w:tc>
        <w:tc>
          <w:tcPr>
            <w:tcW w:w="2250" w:type="dxa"/>
            <w:vAlign w:val="center"/>
          </w:tcPr>
          <w:p w14:paraId="53E35BD9">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过往案例</w:t>
            </w:r>
          </w:p>
        </w:tc>
        <w:tc>
          <w:tcPr>
            <w:tcW w:w="5066" w:type="dxa"/>
            <w:vAlign w:val="center"/>
          </w:tcPr>
          <w:p w14:paraId="46421E10">
            <w:pPr>
              <w:numPr>
                <w:ilvl w:val="0"/>
                <w:numId w:val="1"/>
              </w:num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酒类线上运营经验：提供近2年（2023-2024年）100-500元价格带酒类产品运营案例</w:t>
            </w:r>
            <w:r>
              <w:rPr>
                <w:rFonts w:hint="eastAsia" w:ascii="宋体" w:hAnsi="宋体" w:eastAsia="宋体" w:cs="仿宋_GB2312"/>
                <w:kern w:val="0"/>
                <w:sz w:val="24"/>
                <w:szCs w:val="20"/>
                <w:lang w:eastAsia="zh-CN"/>
                <w14:ligatures w14:val="none"/>
              </w:rPr>
              <w:t>。</w:t>
            </w:r>
            <w:r>
              <w:rPr>
                <w:rFonts w:hint="eastAsia" w:ascii="宋体" w:hAnsi="宋体" w:eastAsia="宋体" w:cs="仿宋_GB2312"/>
                <w:kern w:val="0"/>
                <w:sz w:val="24"/>
                <w:szCs w:val="20"/>
                <w14:ligatures w14:val="none"/>
              </w:rPr>
              <w:t>（每案例5分，最高15分）</w:t>
            </w:r>
          </w:p>
          <w:p w14:paraId="4477E928">
            <w:pPr>
              <w:numPr>
                <w:ilvl w:val="0"/>
                <w:numId w:val="0"/>
              </w:num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w:t>
            </w:r>
            <w:r>
              <w:rPr>
                <w:rFonts w:hint="eastAsia" w:ascii="宋体" w:hAnsi="宋体" w:eastAsia="宋体" w:cs="仿宋_GB2312"/>
                <w:kern w:val="0"/>
                <w:sz w:val="24"/>
                <w:szCs w:val="20"/>
                <w:highlight w:val="none"/>
                <w14:ligatures w14:val="none"/>
              </w:rPr>
              <w:t>爆款打造能力：近2年主导单品年销售额≥1000万元或日成交额破</w:t>
            </w:r>
            <w:r>
              <w:rPr>
                <w:rFonts w:hint="eastAsia" w:ascii="宋体" w:hAnsi="宋体" w:eastAsia="宋体" w:cs="仿宋_GB2312"/>
                <w:kern w:val="0"/>
                <w:sz w:val="24"/>
                <w:szCs w:val="20"/>
                <w:highlight w:val="none"/>
                <w:lang w:val="en-US" w:eastAsia="zh-CN"/>
                <w14:ligatures w14:val="none"/>
              </w:rPr>
              <w:t>100</w:t>
            </w:r>
            <w:r>
              <w:rPr>
                <w:rFonts w:hint="eastAsia" w:ascii="宋体" w:hAnsi="宋体" w:eastAsia="宋体" w:cs="仿宋_GB2312"/>
                <w:kern w:val="0"/>
                <w:sz w:val="24"/>
                <w:szCs w:val="20"/>
                <w:highlight w:val="none"/>
                <w14:ligatures w14:val="none"/>
              </w:rPr>
              <w:t>万元案例</w:t>
            </w:r>
            <w:r>
              <w:rPr>
                <w:rFonts w:hint="eastAsia" w:ascii="宋体" w:hAnsi="宋体" w:eastAsia="宋体" w:cs="仿宋_GB2312"/>
                <w:kern w:val="0"/>
                <w:sz w:val="24"/>
                <w:szCs w:val="20"/>
                <w14:ligatures w14:val="none"/>
              </w:rPr>
              <w:t>（5分）。</w:t>
            </w:r>
          </w:p>
        </w:tc>
        <w:tc>
          <w:tcPr>
            <w:tcW w:w="878" w:type="dxa"/>
            <w:vAlign w:val="center"/>
          </w:tcPr>
          <w:p w14:paraId="6BDC7FEC">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20分</w:t>
            </w:r>
          </w:p>
        </w:tc>
      </w:tr>
      <w:tr w14:paraId="0935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continue"/>
            <w:vAlign w:val="center"/>
          </w:tcPr>
          <w:p w14:paraId="1FE67361">
            <w:pPr>
              <w:spacing w:after="0" w:line="620" w:lineRule="exact"/>
              <w:jc w:val="center"/>
              <w:rPr>
                <w:rFonts w:hint="eastAsia" w:ascii="宋体" w:hAnsi="宋体" w:eastAsia="宋体" w:cs="仿宋_GB2312"/>
                <w:kern w:val="0"/>
                <w:sz w:val="24"/>
                <w:szCs w:val="20"/>
                <w14:ligatures w14:val="none"/>
              </w:rPr>
            </w:pPr>
          </w:p>
        </w:tc>
        <w:tc>
          <w:tcPr>
            <w:tcW w:w="2250" w:type="dxa"/>
            <w:vAlign w:val="center"/>
          </w:tcPr>
          <w:p w14:paraId="3899540C">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资源整合能力</w:t>
            </w:r>
          </w:p>
        </w:tc>
        <w:tc>
          <w:tcPr>
            <w:tcW w:w="5066" w:type="dxa"/>
            <w:vAlign w:val="center"/>
          </w:tcPr>
          <w:p w14:paraId="771C42B6">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1.平台资源：与主流电商平台</w:t>
            </w:r>
            <w:r>
              <w:rPr>
                <w:rFonts w:hint="eastAsia" w:ascii="宋体" w:hAnsi="宋体" w:eastAsia="宋体" w:cs="仿宋_GB2312"/>
                <w:kern w:val="0"/>
                <w:sz w:val="24"/>
                <w:szCs w:val="20"/>
                <w:lang w:val="en-US" w:eastAsia="zh-CN"/>
                <w14:ligatures w14:val="none"/>
              </w:rPr>
              <w:t>及</w:t>
            </w:r>
            <w:r>
              <w:rPr>
                <w:rFonts w:hint="eastAsia" w:ascii="宋体" w:hAnsi="宋体" w:eastAsia="宋体" w:cs="仿宋_GB2312"/>
                <w:kern w:val="0"/>
                <w:sz w:val="24"/>
                <w:szCs w:val="20"/>
                <w14:ligatures w14:val="none"/>
              </w:rPr>
              <w:t>抖音</w:t>
            </w:r>
            <w:r>
              <w:rPr>
                <w:rFonts w:hint="eastAsia" w:ascii="宋体" w:hAnsi="宋体" w:eastAsia="宋体" w:cs="仿宋_GB2312"/>
                <w:kern w:val="0"/>
                <w:sz w:val="24"/>
                <w:szCs w:val="20"/>
                <w:lang w:val="en-US" w:eastAsia="zh-CN"/>
                <w14:ligatures w14:val="none"/>
              </w:rPr>
              <w:t>平台</w:t>
            </w:r>
            <w:r>
              <w:rPr>
                <w:rFonts w:hint="eastAsia" w:ascii="宋体" w:hAnsi="宋体" w:eastAsia="宋体" w:cs="仿宋_GB2312"/>
                <w:kern w:val="0"/>
                <w:sz w:val="24"/>
                <w:szCs w:val="20"/>
                <w14:ligatures w14:val="none"/>
              </w:rPr>
              <w:t>建立深度合作，具备流量扶持、活动资源获取能力（5分）。</w:t>
            </w:r>
          </w:p>
          <w:p w14:paraId="16A30607">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2.跨界资源：拥有KOL、MCN机构、媒体等合作资源库，能快速启动品牌联动（5分）。</w:t>
            </w:r>
          </w:p>
        </w:tc>
        <w:tc>
          <w:tcPr>
            <w:tcW w:w="878" w:type="dxa"/>
            <w:vAlign w:val="center"/>
          </w:tcPr>
          <w:p w14:paraId="3FC99A89">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10分</w:t>
            </w:r>
          </w:p>
        </w:tc>
      </w:tr>
      <w:tr w14:paraId="54241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vAlign w:val="center"/>
          </w:tcPr>
          <w:p w14:paraId="7B453CF5">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财务实力</w:t>
            </w:r>
          </w:p>
          <w:p w14:paraId="1309C148">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（10分）</w:t>
            </w:r>
          </w:p>
        </w:tc>
        <w:tc>
          <w:tcPr>
            <w:tcW w:w="2250" w:type="dxa"/>
            <w:vAlign w:val="center"/>
          </w:tcPr>
          <w:p w14:paraId="791E6549">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资金保障</w:t>
            </w:r>
          </w:p>
        </w:tc>
        <w:tc>
          <w:tcPr>
            <w:tcW w:w="5066" w:type="dxa"/>
            <w:vAlign w:val="center"/>
          </w:tcPr>
          <w:p w14:paraId="1C52E686">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1.注册资本≥100万元（1分）；近2年主营业务年收入≥2000万元（1分）。</w:t>
            </w:r>
          </w:p>
          <w:p w14:paraId="30BF681F">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2.流动资金≥</w:t>
            </w:r>
            <w:r>
              <w:rPr>
                <w:rFonts w:hint="eastAsia" w:ascii="宋体" w:hAnsi="宋体" w:eastAsia="宋体" w:cs="仿宋_GB2312"/>
                <w:kern w:val="0"/>
                <w:sz w:val="24"/>
                <w:szCs w:val="20"/>
                <w:lang w:val="en-US" w:eastAsia="zh-CN"/>
                <w14:ligatures w14:val="none"/>
              </w:rPr>
              <w:t>1</w:t>
            </w:r>
            <w:r>
              <w:rPr>
                <w:rFonts w:hint="eastAsia" w:ascii="宋体" w:hAnsi="宋体" w:eastAsia="宋体" w:cs="仿宋_GB2312"/>
                <w:kern w:val="0"/>
                <w:sz w:val="24"/>
                <w:szCs w:val="20"/>
                <w14:ligatures w14:val="none"/>
              </w:rPr>
              <w:t>000万元（提供银行流水或审计报告，5分）。</w:t>
            </w:r>
          </w:p>
        </w:tc>
        <w:tc>
          <w:tcPr>
            <w:tcW w:w="878" w:type="dxa"/>
            <w:vAlign w:val="center"/>
          </w:tcPr>
          <w:p w14:paraId="62A70F8F">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7分</w:t>
            </w:r>
          </w:p>
        </w:tc>
      </w:tr>
      <w:tr w14:paraId="219A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continue"/>
            <w:vAlign w:val="center"/>
          </w:tcPr>
          <w:p w14:paraId="7889CAD8">
            <w:pPr>
              <w:spacing w:after="0" w:line="620" w:lineRule="exact"/>
              <w:jc w:val="center"/>
              <w:rPr>
                <w:rFonts w:hint="eastAsia" w:ascii="宋体" w:hAnsi="宋体" w:eastAsia="宋体" w:cs="仿宋_GB2312"/>
                <w:kern w:val="0"/>
                <w:sz w:val="24"/>
                <w:szCs w:val="20"/>
                <w14:ligatures w14:val="none"/>
              </w:rPr>
            </w:pPr>
          </w:p>
        </w:tc>
        <w:tc>
          <w:tcPr>
            <w:tcW w:w="2250" w:type="dxa"/>
            <w:vAlign w:val="center"/>
          </w:tcPr>
          <w:p w14:paraId="51EAB5EE">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抗风险能力</w:t>
            </w:r>
          </w:p>
        </w:tc>
        <w:tc>
          <w:tcPr>
            <w:tcW w:w="5066" w:type="dxa"/>
            <w:vAlign w:val="center"/>
          </w:tcPr>
          <w:p w14:paraId="411113DA">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资产负债率≤50%（2分）；具备风险应对机制（如备用资金池、保险覆盖）（1分）。</w:t>
            </w:r>
          </w:p>
        </w:tc>
        <w:tc>
          <w:tcPr>
            <w:tcW w:w="878" w:type="dxa"/>
            <w:vAlign w:val="center"/>
          </w:tcPr>
          <w:p w14:paraId="6632F6B4">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3分</w:t>
            </w:r>
          </w:p>
        </w:tc>
      </w:tr>
      <w:tr w14:paraId="6DA22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Align w:val="center"/>
          </w:tcPr>
          <w:p w14:paraId="17219A1E">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应急响应</w:t>
            </w:r>
          </w:p>
          <w:p w14:paraId="3128FF71">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（10分）</w:t>
            </w:r>
          </w:p>
        </w:tc>
        <w:tc>
          <w:tcPr>
            <w:tcW w:w="2250" w:type="dxa"/>
            <w:vAlign w:val="center"/>
          </w:tcPr>
          <w:p w14:paraId="1F2BE4FB">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应急响应</w:t>
            </w:r>
          </w:p>
        </w:tc>
        <w:tc>
          <w:tcPr>
            <w:tcW w:w="5066" w:type="dxa"/>
            <w:vAlign w:val="center"/>
          </w:tcPr>
          <w:p w14:paraId="0A8BE238">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1.风险识别全面性：覆盖产品质量、消费者投诉、品牌争议等场景（3分）。</w:t>
            </w:r>
          </w:p>
          <w:p w14:paraId="77281B04">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2.响应机制时效性：明确24小时应急小组、分级响应流程（如负面评论48小时内处理）（4分）。</w:t>
            </w:r>
          </w:p>
          <w:p w14:paraId="572464F2">
            <w:pPr>
              <w:spacing w:after="0" w:line="620" w:lineRule="exact"/>
              <w:jc w:val="left"/>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3.公关措施有效性：提供过往危机公关成功案例（如舆情逆转、品牌形象修复）（3分）。</w:t>
            </w:r>
          </w:p>
        </w:tc>
        <w:tc>
          <w:tcPr>
            <w:tcW w:w="878" w:type="dxa"/>
            <w:vAlign w:val="center"/>
          </w:tcPr>
          <w:p w14:paraId="0BF51B42">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10分</w:t>
            </w:r>
          </w:p>
        </w:tc>
      </w:tr>
      <w:tr w14:paraId="5A954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96" w:type="dxa"/>
            <w:gridSpan w:val="3"/>
            <w:vAlign w:val="center"/>
          </w:tcPr>
          <w:p w14:paraId="003FB169">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总分</w:t>
            </w:r>
          </w:p>
        </w:tc>
        <w:tc>
          <w:tcPr>
            <w:tcW w:w="878" w:type="dxa"/>
            <w:vAlign w:val="center"/>
          </w:tcPr>
          <w:p w14:paraId="0158BE30">
            <w:pPr>
              <w:spacing w:after="0" w:line="620" w:lineRule="exact"/>
              <w:jc w:val="center"/>
              <w:rPr>
                <w:rFonts w:hint="eastAsia" w:ascii="宋体" w:hAnsi="宋体" w:eastAsia="宋体" w:cs="仿宋_GB2312"/>
                <w:kern w:val="0"/>
                <w:sz w:val="24"/>
                <w:szCs w:val="20"/>
                <w14:ligatures w14:val="none"/>
              </w:rPr>
            </w:pPr>
            <w:r>
              <w:rPr>
                <w:rFonts w:hint="eastAsia" w:ascii="宋体" w:hAnsi="宋体" w:eastAsia="宋体" w:cs="仿宋_GB2312"/>
                <w:kern w:val="0"/>
                <w:sz w:val="24"/>
                <w:szCs w:val="20"/>
                <w14:ligatures w14:val="none"/>
              </w:rPr>
              <w:t>100分</w:t>
            </w:r>
          </w:p>
        </w:tc>
      </w:tr>
    </w:tbl>
    <w:p w14:paraId="42F0E0F5">
      <w:pPr>
        <w:spacing w:line="62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评分说明：</w:t>
      </w:r>
    </w:p>
    <w:p w14:paraId="13B2DF7B">
      <w:pPr>
        <w:spacing w:line="6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一、</w:t>
      </w:r>
      <w:r>
        <w:rPr>
          <w:rFonts w:hint="eastAsia" w:ascii="仿宋_GB2312" w:hAnsi="仿宋_GB2312" w:eastAsia="仿宋_GB2312" w:cs="仿宋_GB2312"/>
          <w:sz w:val="32"/>
          <w:szCs w:val="32"/>
        </w:rPr>
        <w:t>所有证明材料（合同、财务报表、终端名单）需加盖公章，未提供或材料不完整则对应项不得分。</w:t>
      </w:r>
    </w:p>
    <w:p w14:paraId="172518FD">
      <w:pPr>
        <w:spacing w:line="6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仿宋_GB2312"/>
          <w:sz w:val="32"/>
          <w:szCs w:val="32"/>
        </w:rPr>
        <w:t>二、</w:t>
      </w:r>
      <w:r>
        <w:rPr>
          <w:rFonts w:hint="eastAsia" w:ascii="仿宋_GB2312" w:hAnsi="仿宋_GB2312" w:eastAsia="仿宋_GB2312" w:cs="仿宋_GB2312"/>
          <w:sz w:val="32"/>
          <w:szCs w:val="32"/>
        </w:rPr>
        <w:t>总分100分，按得分排名确定入围资格；得分相同者优先考虑运营方案可行性及团队能力。</w:t>
      </w:r>
    </w:p>
    <w:p w14:paraId="384717E3">
      <w:pPr>
        <w:spacing w:line="620" w:lineRule="exact"/>
        <w:ind w:firstLine="640"/>
        <w:rPr>
          <w:rFonts w:hint="eastAsia" w:ascii="仿宋_GB2312" w:hAnsi="仿宋_GB2312" w:eastAsia="仿宋_GB2312" w:cs="仿宋_GB2312"/>
          <w:sz w:val="32"/>
          <w:szCs w:val="32"/>
        </w:rPr>
      </w:pPr>
      <w:bookmarkStart w:id="0" w:name="_Hlk195260382"/>
      <w:r>
        <w:rPr>
          <w:rFonts w:hint="eastAsia" w:ascii="黑体" w:hAnsi="黑体" w:eastAsia="黑体" w:cs="仿宋_GB2312"/>
          <w:sz w:val="32"/>
          <w:szCs w:val="32"/>
        </w:rPr>
        <w:t>三、</w:t>
      </w:r>
      <w:r>
        <w:rPr>
          <w:rFonts w:hint="eastAsia" w:ascii="仿宋_GB2312" w:hAnsi="仿宋_GB2312" w:eastAsia="仿宋_GB2312" w:cs="仿宋_GB2312"/>
          <w:sz w:val="32"/>
          <w:szCs w:val="32"/>
        </w:rPr>
        <w:t>以上评分项目除财务实力外如涉及到意向</w:t>
      </w:r>
      <w:r>
        <w:rPr>
          <w:rFonts w:hint="eastAsia" w:ascii="仿宋_GB2312" w:hAnsi="黑体" w:eastAsia="仿宋_GB2312" w:cs="仿宋_GB2312"/>
          <w:sz w:val="32"/>
          <w:szCs w:val="32"/>
        </w:rPr>
        <w:t>运营商</w:t>
      </w:r>
      <w:r>
        <w:rPr>
          <w:rFonts w:hint="eastAsia" w:ascii="仿宋_GB2312" w:hAnsi="仿宋_GB2312" w:eastAsia="仿宋_GB2312" w:cs="仿宋_GB2312"/>
          <w:sz w:val="32"/>
          <w:szCs w:val="32"/>
        </w:rPr>
        <w:t>联合体业务，可以使用联合体相关证明材料，但需提供关联证明。</w:t>
      </w:r>
      <w:bookmarkEnd w:id="0"/>
    </w:p>
    <w:p w14:paraId="0D207B71">
      <w:pPr>
        <w:keepNext w:val="0"/>
        <w:keepLines w:val="0"/>
        <w:pageBreakBefore w:val="0"/>
        <w:widowControl w:val="0"/>
        <w:kinsoku/>
        <w:wordWrap/>
        <w:overflowPunct/>
        <w:topLinePunct w:val="0"/>
        <w:autoSpaceDE/>
        <w:autoSpaceDN/>
        <w:bidi w:val="0"/>
        <w:adjustRightInd w:val="0"/>
        <w:snapToGrid/>
        <w:spacing w:after="120" w:line="240" w:lineRule="auto"/>
        <w:ind w:left="0" w:leftChars="0" w:firstLine="0" w:firstLineChars="0"/>
        <w:jc w:val="both"/>
        <w:textAlignment w:val="auto"/>
        <w:rPr>
          <w:rFonts w:hint="eastAsia" w:ascii="黑体" w:hAnsi="黑体" w:eastAsia="黑体" w:cs="黑体"/>
          <w:color w:val="000000"/>
          <w:kern w:val="0"/>
          <w:sz w:val="32"/>
          <w:szCs w:val="32"/>
          <w:lang w:val="en-US" w:eastAsia="zh-CN" w:bidi="ar"/>
        </w:rPr>
      </w:pPr>
    </w:p>
    <w:p w14:paraId="499EF41A">
      <w:pPr>
        <w:keepNext w:val="0"/>
        <w:keepLines w:val="0"/>
        <w:pageBreakBefore w:val="0"/>
        <w:widowControl w:val="0"/>
        <w:kinsoku/>
        <w:wordWrap/>
        <w:overflowPunct/>
        <w:topLinePunct w:val="0"/>
        <w:autoSpaceDE/>
        <w:autoSpaceDN/>
        <w:bidi w:val="0"/>
        <w:adjustRightInd w:val="0"/>
        <w:snapToGrid/>
        <w:spacing w:after="120" w:line="240" w:lineRule="auto"/>
        <w:ind w:left="0" w:leftChars="0" w:firstLine="0" w:firstLineChars="0"/>
        <w:jc w:val="both"/>
        <w:textAlignment w:val="auto"/>
        <w:rPr>
          <w:rFonts w:hint="eastAsia" w:ascii="黑体" w:hAnsi="黑体" w:eastAsia="黑体" w:cs="黑体"/>
          <w:color w:val="000000"/>
          <w:kern w:val="0"/>
          <w:sz w:val="32"/>
          <w:szCs w:val="32"/>
          <w:lang w:val="en-US" w:eastAsia="zh-CN" w:bidi="ar"/>
        </w:rPr>
      </w:pPr>
    </w:p>
    <w:p w14:paraId="1C08083F"/>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8766002"/>
      <w:docPartObj>
        <w:docPartGallery w:val="autotext"/>
      </w:docPartObj>
    </w:sdtPr>
    <w:sdtEndPr>
      <w:rPr>
        <w:rFonts w:ascii="宋体" w:hAnsi="宋体" w:eastAsia="宋体"/>
        <w:sz w:val="28"/>
        <w:szCs w:val="28"/>
      </w:rPr>
    </w:sdtEndPr>
    <w:sdtContent>
      <w:p w14:paraId="50A744C2">
        <w:pPr>
          <w:pStyle w:val="11"/>
          <w:jc w:val="right"/>
          <w:rPr>
            <w:rFonts w:hint="eastAsia"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633061095"/>
      <w:docPartObj>
        <w:docPartGallery w:val="autotext"/>
      </w:docPartObj>
    </w:sdtPr>
    <w:sdtEndPr>
      <w:rPr>
        <w:rFonts w:ascii="宋体" w:hAnsi="宋体" w:eastAsia="宋体"/>
        <w:sz w:val="28"/>
        <w:szCs w:val="28"/>
      </w:rPr>
    </w:sdtEndPr>
    <w:sdtContent>
      <w:p w14:paraId="6A1E5168">
        <w:pPr>
          <w:pStyle w:val="11"/>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E3F49"/>
    <w:multiLevelType w:val="singleLevel"/>
    <w:tmpl w:val="54FE3F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B8"/>
    <w:rsid w:val="00A17F60"/>
    <w:rsid w:val="00E13BB8"/>
    <w:rsid w:val="500506DA"/>
    <w:rsid w:val="62A16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5">
    <w:name w:val="Table Grid"/>
    <w:basedOn w:val="14"/>
    <w:qFormat/>
    <w:uiPriority w:val="59"/>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sz w:val="22"/>
      <w14:ligatures w14:val="standardContextual"/>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脚 字符"/>
    <w:basedOn w:val="16"/>
    <w:link w:val="11"/>
    <w:qFormat/>
    <w:uiPriority w:val="99"/>
    <w:rPr>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998</Characters>
  <Lines>46</Lines>
  <Paragraphs>51</Paragraphs>
  <TotalTime>3</TotalTime>
  <ScaleCrop>false</ScaleCrop>
  <LinksUpToDate>false</LinksUpToDate>
  <CharactersWithSpaces>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2025-04-16T05:17:00Z</dcterms:created>
  <dc:creator>多苗 张</dc:creator>
  <cp:lastModifiedBy>茅台葡萄酒公司</cp:lastModifiedBy>
  <dcterms:modified xsi:type="dcterms:W3CDTF">2025-07-09T06:08:32Z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eyJoZGlkIjoiZTYzY2UyYTE2NGJmYTE2MDZlNThmODZjYTA3YmNmOWIiLCJ1c2VySWQiOiIyMzE3OTI5NDIifQ==</vt:lpwstr>
  </property>
  <property fmtid="{D5CDD505-2E9C-101B-9397-08002B2CF9AE}" pid="3" name="KSOProductBuildVer">
    <vt:lpwstr>2052-12.1.0.21915</vt:lpwstr>
  </property>
  <property fmtid="{D5CDD505-2E9C-101B-9397-08002B2CF9AE}" pid="4" name="ICV">
    <vt:lpwstr>26764DF37528424B84BC621428A7FC72_12</vt:lpwstr>
  </property>
</Properties>
</file>